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Aktualizacja z dnia 12.10.2020 r.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40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sz w:val="28"/>
          <w:szCs w:val="28"/>
          <w:rtl w:val="0"/>
        </w:rPr>
        <w:t xml:space="preserve">REGULAMIN REKRUTACJI UCZESTNIKÓW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40" w:lineRule="auto"/>
        <w:ind w:left="1" w:hanging="3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do projektu 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NOWOCZESNA SZKOŁA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40" w:lineRule="auto"/>
        <w:ind w:left="0" w:hanging="2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 podnoszenie kompetencji kluczowych uczniów bielskich liceów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projekt realizowany z Regionalnego Programu Operacyjnego Województwa Podlaskiego na lata 2014-2020 współfinansowany ze środków Unii Europejskiej w ramach  Europejskiego Funduszu Społecznego nr projektu RPO. 03.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01.02-20-0444/19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Informacje ogólne o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276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Niniejszy Regulamin określa zasady rekrutacji do projektu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NOWOCZESNA SZKOŁA- podnoszenie kompetencji kluczowych uczniów bielskich liceów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276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Projekt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„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NOWOCZESNA SZKOŁA- podnoszenie kompetencji kluczowych uczniów bielskich liceów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realizowany jest przez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Ośrodek Wspierania Organizacji Pozarządowych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(Lider), Powiat Bielski (Partner),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 Liceum Ogólnokształcące im. Tadeusza Kościuszki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oraz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II Liceum Ogólnokształcące </w:t>
        <w:br w:type="textWrapping"/>
        <w:t xml:space="preserve">z Białoruskim Językiem Nauczania  im. Bronisława Taraszkiewicza w Bielsku Podlaskim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(Realizatorzy)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ramach Regionalnego Programu Operacyjnego Województwa Podlaskiego na lata 2014-2020, Osi Priorytetowej III: „Kompetencje i kwalifikacje”,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Działanie 3.1 Kształcenie i edukacja, Poddziałanie 3.1.2 Wzmocnienie atrakcyjności i podniesienie jakości oferty edukacyjnej w zakresie kształcenia ogólnego, ukierunkowanej na rozwój kompetencji kluczowych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276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Okres realizacji Projektu: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.2020 r.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17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.202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  <w:tab w:val="left" w:pos="1276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Biura  projektu: Biuro Projektu Lidera - ul.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Modlińska 6 lok U3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15-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066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Białystok oraz Biuro Projektu Partnera 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Liceum Ogólnokształcące im. Tadeusza Kościuszki ul. 11 Listopada 6 i II Liceum Ogólnokształcące z Białoruskim Językiem Nauczania  im. Bronisława Taraszkiewicza w Bielsku Podlaskim ul. Kopernika 4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17-100 Bielsk Podlaski.</w:t>
      </w:r>
    </w:p>
    <w:p w:rsidR="00000000" w:rsidDel="00000000" w:rsidP="00000000" w:rsidRDefault="00000000" w:rsidRPr="00000000" w14:paraId="0000000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709"/>
          <w:tab w:val="left" w:pos="1276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Uczestnik – uczeń/uczennica oraz nauczyciel/nauczycielka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Liceum Ogólnokształcące </w:t>
        <w:br w:type="textWrapping"/>
        <w:t xml:space="preserve">im. Tadeusza Kościuszki lub  II Liceum Ogólnokształcące z Białoruskim Językiem Nauczania  </w:t>
        <w:br w:type="textWrapping"/>
        <w:t xml:space="preserve">im. Bronisława Taraszkiewicza w Bielsku Podlaskim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zakwalifikowany/a do uczestnictwa w projekcie.</w:t>
      </w:r>
    </w:p>
    <w:p w:rsidR="00000000" w:rsidDel="00000000" w:rsidP="00000000" w:rsidRDefault="00000000" w:rsidRPr="00000000" w14:paraId="0000000E">
      <w:pPr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276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Udział w projekcie jest bezpłatny.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Cel projektu i zakres wsparcia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Celem głównym projektu jest wzmocnienie atrakcyjności i podniesienie jakości oferty edukacyjnej I Liceum Ogólnokształcące im. Tadeusza Kościuszki  oraz II Liceum Ogólnokształcące </w:t>
        <w:br w:type="textWrapping"/>
        <w:t xml:space="preserve">z Białoruskim Językiem Nauczania im. Bronisława Taraszkiewicza w Bielsku Podlaskim ukierunkowanej na rozwój kompetencji kluczowych 205 (143K/62M) uczniów, prowadzenia zajęć metodą eksperymentu i doskonalenie kompetencji 40 N (29K) oraz doposażenie 2 pracowni przedmiotowych od 08.2020 do 12.2021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Grupę docelową projektu stanowi łącznie 205 (143K/62M) osób nieaktywnych zawodowo uczących się – 137 ( 93K)  uczniów/uczennic I LO w Bielsku Podlaskim i 68 (50K) uczniów/uczennic II LO w Bielsku Podlaskim oraz osoby zatrudnione w sektorze pub. – 20 (15K;5M) nauczycieli/nauczycielki pracujący w I LO i 20 (16K,4M) nauczycieli/lek z II LO. Wszyscy uczestnicy proj. to os. uczące się lub pracujące lub zamieszkujące na terenie woj. podl. w rozumieniu przepisów KC. 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Uczniowie/uczennice, nauczyciele zakwalifikowani/ne do projektu będą mogli/łe skorzystać z form wsparcia przewidzianych w projekcie:</w:t>
      </w:r>
    </w:p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ab/>
        <w:t xml:space="preserve">3.1 Uczniowie/uczennice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Zajęcia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rozwijające z chemii metodą eksperymentu (I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wyrównujący z chemii metodą eksperymentu (I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Akademia programowania (II LO)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rozwijające kompetencje kluczowe z języka angielskiego (II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Laboratorium kompetencji cyfrowych (I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doskonalące kompetencje kluczowe z matematyki (I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rozwijające kompetencje kluczowe z języka angielskiego (I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wyrównawcze kompetencje z matematyki (I LO i II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wyrównawcze kompetencje z języka angielskiego (I LO i II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Pomoc stypendialna uczniom/uczennicom I LO i II LO – zgodnie z odrębnym  Regulaminem Programu Stypendialnego.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560"/>
        </w:tabs>
        <w:spacing w:after="0" w:before="0" w:line="276" w:lineRule="auto"/>
        <w:ind w:left="3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Nauczyciele/nauczycielki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Szkolenie: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Eksperyment - nauczanie przez odkrywanie (I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Szkolenia kompetencji cyfrowych nauczycieli/lek (I LO i II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Szkolenie z zakresu funkcjonalności dziennika elektronicznego dla nauczycieli (II 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Szkolenie dla nauczycieli  w zakresie  prowadzenia kształcenia na odległość 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zastosowaniem metod i technik zdalnego nauczania  (I LO i II LO)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Szkolenie rady pedagogicznej  na temat indywidualizacji pracy z uczniem zdolnym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(I LO i   II LO).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Procedura rekrutacji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Informacja o rekrutacji dostępna będzie: </w:t>
      </w:r>
    </w:p>
    <w:p w:rsidR="00000000" w:rsidDel="00000000" w:rsidP="00000000" w:rsidRDefault="00000000" w:rsidRPr="00000000" w14:paraId="0000002F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418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biurze projektu realizatora 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Liceum Ogólnokształcącym im. Tadeusza Kościuszki,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418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biurze projektu realizatora w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II Liceum Ogólnokształcącym z Białoruskim Językiem Nauczania  im.    Bronisława Taraszkiewicza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418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stronie www szkół realizujących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 organu prowadzącego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418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podczas spotkań grupowych z uczniami (klasa), rodzicami (zebrania), nauczycielami (rada pedagogiczna)</w:t>
      </w:r>
    </w:p>
    <w:p w:rsidR="00000000" w:rsidDel="00000000" w:rsidP="00000000" w:rsidRDefault="00000000" w:rsidRPr="00000000" w14:paraId="00000033">
      <w:pPr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418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podczas rozmów indywidualnych wychowawców z rodzicami i uczniami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418"/>
        </w:tabs>
        <w:spacing w:line="276" w:lineRule="auto"/>
        <w:ind w:left="0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Proces rekrutacji prowadzony będzie w I Liceum Ogólnokształcącym im. Tadeusza Kościuszki oraz II Liceum Ogólnokształcącym z Białoruskim Językiem Nauczania  im. Bronisława Taraszkiewicza w okresie: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nauczyciele/nauczycielki: 07.09.2020 r. – 15.09.2020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uczniowie/uczennice: 07.09.2020 r. –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.2020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trudności w rekrutacji i mniejszej liczby chętnych będą prowadzone dodatkowe rozmowy indywidualne i przedstawione indywidualne korzyści udziału poszczególnych uczniów i nauczycieli w projekcie.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 przypadku niezrekrutowania zaplanowanej liczby uczestników/uczestniczek projektu </w:t>
        <w:br w:type="textWrapping"/>
        <w:t xml:space="preserve">we wskazanym terminie rekrutacja dalej będzie prowadzona w sposób ciągły do wyczerpania limitu miejsc.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Zgłoszenie do udziału w projekcie odbywać się będzie na podstawie formularza rekrutacyjnego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załącznik nr 1 i załącznik nr 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Kompletnie wypełniony i podpisany formularz rekrutacyjny wraz z wymaganymi załącznikami należy złożyć w Punkcie Rekrutacyjnym w szkole.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Wyniki Rekrutacji dostępne będą w Punkcie Rekrutacyjnym w szkole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Komisję Rekrutacyjną powołuje Kierownik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Zostaną utworzone list uczestników/ uczestniczek zakwalifikowanych do udziału w projekcie oraz listy rezerwowych potencjalnych uczestników/ uczestniczek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Zasady rekrutacji uczniów i uczennic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Rekrutacja będzie odbywała się w dwóch etapach: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560"/>
        </w:tabs>
        <w:spacing w:after="0" w:before="0" w:line="276" w:lineRule="auto"/>
        <w:ind w:left="7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ETAP – działania informacyjno-promocyjne: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56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spotkania grupowe z uczniami na godzinach wychowawczych, z nauczycielami (Rada Pedagogiczna), rodzicami (zebrania),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56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rozmowy indywidualne z uczniami i rodzicami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56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ogłoszenia o projekcie na stronie www szkół i organu prowadzącego.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560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ind w:left="42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II ETAP – weryfikacja i selekcja wg. kryteriów </w:t>
      </w:r>
    </w:p>
    <w:p w:rsidR="00000000" w:rsidDel="00000000" w:rsidP="00000000" w:rsidRDefault="00000000" w:rsidRPr="00000000" w14:paraId="00000049">
      <w:pPr>
        <w:spacing w:line="276" w:lineRule="auto"/>
        <w:ind w:left="425" w:firstLine="29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Kryteria formalne (ocena spełnia/nie spełnia):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status ucznia I LO/II LO,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złożenie kompletu dokumentów (formularz rekrutacyjny),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zgłoszenie w określonym terminie.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ind w:left="425" w:firstLine="295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Kryteria jakościowe wynikających ze zdiagnozowanych barier  (wg. wagi punktowe):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zamieszkanie – teren wiejski/oświadczenie – 1 pkt.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trudna sytuacja materialna – oświadczenie - 1 pkt.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dysfunkcja w rodzinie – opinia pedagoga – 1 pkt.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ind w:left="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Kryteria premiujące na poszczególne rodzaje wsparcia: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ocena roczna z poprzedniego roku szkolnego</w:t>
      </w:r>
    </w:p>
    <w:p w:rsidR="00000000" w:rsidDel="00000000" w:rsidP="00000000" w:rsidRDefault="00000000" w:rsidRPr="00000000" w14:paraId="00000055">
      <w:pPr>
        <w:spacing w:line="276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rozwijające  (wysokie wyniki z przedmiotu) - powyżej 4,0 – 3 pkt; powyżej 3,0 – 3,99 – 2 pkt; </w:t>
      </w:r>
    </w:p>
    <w:p w:rsidR="00000000" w:rsidDel="00000000" w:rsidP="00000000" w:rsidRDefault="00000000" w:rsidRPr="00000000" w14:paraId="00000056">
      <w:pPr>
        <w:spacing w:line="276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Zajęcia wyrównujące (niskie wyniki z przedmiotu) - poniżej 2,0 – 3 pkt;  poniżej 3,00 – 2,5  – 2 pkt;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wskazanie n-la uczącego danego przedmiotu (matematyka, język angielski, chemia, informatyka) – 3 pkt.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 - 3 pkt.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z niepełnosprawnością OzN - 5 pkt.</w:t>
      </w:r>
    </w:p>
    <w:p w:rsidR="00000000" w:rsidDel="00000000" w:rsidP="00000000" w:rsidRDefault="00000000" w:rsidRPr="00000000" w14:paraId="0000005A">
      <w:pPr>
        <w:spacing w:line="276" w:lineRule="auto"/>
        <w:ind w:left="0" w:firstLine="0"/>
        <w:rPr>
          <w:rFonts w:ascii="Calibri" w:cs="Calibri" w:eastAsia="Calibri" w:hAnsi="Calibri"/>
          <w:color w:val="00b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podstawie łącznej liczby punktów zostaną stworzone listy uczniów/uczennic zakwalifikowanych do projektu oraz listy rezerwowe, w przypadku większej liczby chętnych do udziału w Projekcie.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Przyjęcie uczestnika do udziału w projekcie z listy rekrutacyjnej następować będzie w sytuacji kiedy inny uczestnik projektu zrezygnuje z udziału przed rozpoczęciem zaplanowanej formy wsparcia oraz w momencie kiedy zajęcia w których osoba rezygnująca uczestniczyła nie zostały zrealizowane w zakresie większym niż 25%. (nie dotyczy zad.7).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Zasady rekrutacji nauczycieli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projekcie może wziąć udział 40 nauczycieli, z czego 20 (15K;5M) nauczycieli/nauczycielki pracujących w I LO w Bielsku Podlaskim oraz 20 (16K,4M) nauczycieli/lek pracujących w II LO </w:t>
        <w:br w:type="textWrapping"/>
        <w:t xml:space="preserve">w Bielsku Podlaskim.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851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Weryfikacja i selekcja zgłoszeń wg. kryteriów - ocena w skali punktowej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851"/>
          <w:tab w:val="left" w:pos="1560"/>
        </w:tabs>
        <w:spacing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Kryteria formalne (ocena spełnia/nie spełnia)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status nauczyciela/lki zatrudnionego w I LO/II LO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złożenie kompletu dokumentów (formularz rekrutacyjny z załącznikami) w określonym terminie.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Kryteria jakościowe (wg. wagi punktowej)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nauczyciele matematyki, chemii, fizyki,  języka ang., informatyki oraz specjaliści pracujący z uczniem ze SPE– zgodnie z zakresem wsparcia w projekcie – 5 pkt.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stopień awansu zawodowego – kontraktowy – 2 pkt., mianowany -3 pkt, dyplomowany</w:t>
        <w:br w:type="textWrapping"/>
        <w:t xml:space="preserve">- 4 pkt. 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ocena zasadności udziału w związku z potrzebami szkoły - opinia dyrektora – 2 pkt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deklaracja wykorzystania kompetencji w pracy (0-2 pkt.)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osób spełniających w równym stopniu kryteria rekrutacji, będzie brana pod uwagę kolejność zgłoszeń. 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Uprawnienia i obowiązki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Uczestnik/uczestniczka jest uprawniony do nieodpłatnego udziału w Projekcie </w:t>
        <w:br w:type="textWrapping"/>
        <w:t xml:space="preserve">oraz otrzymania bezpłatnych materiałów do zajęć.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Uczestnik/uczestniczka lub jego Opiekun prawny jest zobowiązany do zapoznania </w:t>
        <w:br w:type="textWrapping"/>
        <w:t xml:space="preserve">się z niniejszym Regulaminem.</w:t>
      </w:r>
    </w:p>
    <w:p w:rsidR="00000000" w:rsidDel="00000000" w:rsidP="00000000" w:rsidRDefault="00000000" w:rsidRPr="00000000" w14:paraId="0000007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Uczestnik/uczestniczka jest zobowiązany do uczestnictwa w zajęciach, na które zostanie zakwalifikowany. 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wyjątkowych sytuacjach w przypadku nieobecności uczestnika/uczestniczki, </w:t>
        <w:br w:type="textWrapping"/>
        <w:t xml:space="preserve">a w przypadku Ucznia/Uczennicy,  Opiekun Prawny  zobowiązany jest do usprawiedliwienia nieobecności w formie pisemnej w terminie do 7 dni od daty zaistnienia zdarzenia, u osoby prowadzącej.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Uczestnik/uczestniczka, a w przypadku Ucznia/Uczennicy  Opiekun Prawny  zobowiązany jest do informowania o wszystkich zdarzeniach, mogących zakłócić dalszy udział w zajęciach.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§7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Projektodawca zastrzega sobie prawo do zmian niniejszego Regulaminu, wynikających </w:t>
        <w:br w:type="textWrapping"/>
        <w:t xml:space="preserve">w szczególności za zmian przepisów prawa, jak i uregulowań dotyczących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Regionalnego Programu Operacyjnego Województwa Podlaskiego na lata 2014-2020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7C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Regulamin wchodzi w życie z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dniem 12.10.2020 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560"/>
        </w:tabs>
        <w:spacing w:line="276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W sprawach nieuregulowanych niniejszym Regulaminem mają zastosowanie odpowiednie dokumenty programowe oraz zasady regulujące wdrażanie </w:t>
      </w:r>
      <w:r w:rsidDel="00000000" w:rsidR="00000000" w:rsidRPr="00000000">
        <w:rPr>
          <w:rFonts w:ascii="Calibri" w:cs="Calibri" w:eastAsia="Calibri" w:hAnsi="Calibri"/>
          <w:color w:val="000000"/>
          <w:highlight w:val="white"/>
          <w:rtl w:val="0"/>
        </w:rPr>
        <w:t xml:space="preserve">Regionalnego Programu Operacyjnego Województwa Podlaskiego na lata 2014-2020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a  także przepisy wynikające z właściwych aktów prawa wspólnotowego i polskiego, w szczególności Kodeksu Cywilnego  i Ustawy o ochronie danych osobowych. 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Załączniki: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rFonts w:ascii="Calibri" w:cs="Calibri" w:eastAsia="Calibri" w:hAnsi="Calibri"/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Załącznik nr 1 - Formularz zgłoszeniowy ucznia/uczennicy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  <w:tab w:val="left" w:pos="1560"/>
        </w:tabs>
        <w:spacing w:line="276" w:lineRule="auto"/>
        <w:ind w:left="0" w:hanging="2"/>
        <w:rPr>
          <w:i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Załącznik nr 2 - Formularz zgłoszeniowy nauczyciela/nauczycielki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702" w:left="1134" w:right="1134" w:header="1418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-2" w:firstLine="0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-2" w:firstLine="0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-2" w:firstLine="0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245"/>
        <w:tab w:val="right" w:pos="11906"/>
      </w:tabs>
      <w:spacing w:line="240" w:lineRule="auto"/>
      <w:ind w:left="0" w:hanging="2"/>
      <w:rPr>
        <w:color w:val="000000"/>
        <w:sz w:val="16"/>
        <w:szCs w:val="16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520305" cy="3175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595373" y="3780000"/>
                        <a:ext cx="750125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520305" cy="3175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20305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-654048</wp:posOffset>
          </wp:positionV>
          <wp:extent cx="6645275" cy="579120"/>
          <wp:effectExtent b="0" l="0" r="0" t="0"/>
          <wp:wrapSquare wrapText="bothSides" distB="0" distT="0" distL="0" distR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5275" cy="5791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6">
    <w:lvl w:ilvl="0">
      <w:start w:val="3"/>
      <w:numFmt w:val="decimal"/>
      <w:lvlText w:val="%1"/>
      <w:lvlJc w:val="left"/>
      <w:pPr>
        <w:ind w:left="360" w:hanging="360"/>
      </w:pPr>
      <w:rPr/>
    </w:lvl>
    <w:lvl w:ilvl="1">
      <w:start w:val="2"/>
      <w:numFmt w:val="decimal"/>
      <w:lvlText w:val="%1.%2"/>
      <w:lvlJc w:val="left"/>
      <w:pPr>
        <w:ind w:left="358" w:hanging="360"/>
      </w:pPr>
      <w:rPr/>
    </w:lvl>
    <w:lvl w:ilvl="2">
      <w:start w:val="1"/>
      <w:numFmt w:val="decimal"/>
      <w:lvlText w:val="%1.%2.%3"/>
      <w:lvlJc w:val="left"/>
      <w:pPr>
        <w:ind w:left="716" w:hanging="720"/>
      </w:pPr>
      <w:rPr/>
    </w:lvl>
    <w:lvl w:ilvl="3">
      <w:start w:val="1"/>
      <w:numFmt w:val="decimal"/>
      <w:lvlText w:val="%1.%2.%3.%4"/>
      <w:lvlJc w:val="left"/>
      <w:pPr>
        <w:ind w:left="714" w:hanging="720"/>
      </w:pPr>
      <w:rPr/>
    </w:lvl>
    <w:lvl w:ilvl="4">
      <w:start w:val="1"/>
      <w:numFmt w:val="decimal"/>
      <w:lvlText w:val="%1.%2.%3.%4.%5"/>
      <w:lvlJc w:val="left"/>
      <w:pPr>
        <w:ind w:left="1072" w:hanging="1080"/>
      </w:pPr>
      <w:rPr/>
    </w:lvl>
    <w:lvl w:ilvl="5">
      <w:start w:val="1"/>
      <w:numFmt w:val="decimal"/>
      <w:lvlText w:val="%1.%2.%3.%4.%5.%6"/>
      <w:lvlJc w:val="left"/>
      <w:pPr>
        <w:ind w:left="1070" w:hanging="1080"/>
      </w:pPr>
      <w:rPr/>
    </w:lvl>
    <w:lvl w:ilvl="6">
      <w:start w:val="1"/>
      <w:numFmt w:val="decimal"/>
      <w:lvlText w:val="%1.%2.%3.%4.%5.%6.%7"/>
      <w:lvlJc w:val="left"/>
      <w:pPr>
        <w:ind w:left="1428" w:hanging="1440"/>
      </w:pPr>
      <w:rPr/>
    </w:lvl>
    <w:lvl w:ilvl="7">
      <w:start w:val="1"/>
      <w:numFmt w:val="decimal"/>
      <w:lvlText w:val="%1.%2.%3.%4.%5.%6.%7.%8"/>
      <w:lvlJc w:val="left"/>
      <w:pPr>
        <w:ind w:left="1426" w:hanging="1440"/>
      </w:pPr>
      <w:rPr/>
    </w:lvl>
    <w:lvl w:ilvl="8">
      <w:start w:val="1"/>
      <w:numFmt w:val="decimal"/>
      <w:lvlText w:val="%1.%2.%3.%4.%5.%6.%7.%8.%9"/>
      <w:lvlJc w:val="left"/>
      <w:pPr>
        <w:ind w:left="1784" w:hanging="180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18" w:hanging="360"/>
      </w:pPr>
      <w:rPr/>
    </w:lvl>
    <w:lvl w:ilvl="1">
      <w:start w:val="1"/>
      <w:numFmt w:val="lowerLetter"/>
      <w:lvlText w:val="%2."/>
      <w:lvlJc w:val="left"/>
      <w:pPr>
        <w:ind w:left="1438" w:hanging="360"/>
      </w:pPr>
      <w:rPr/>
    </w:lvl>
    <w:lvl w:ilvl="2">
      <w:start w:val="1"/>
      <w:numFmt w:val="lowerRoman"/>
      <w:lvlText w:val="%3."/>
      <w:lvlJc w:val="right"/>
      <w:pPr>
        <w:ind w:left="2158" w:hanging="180"/>
      </w:pPr>
      <w:rPr/>
    </w:lvl>
    <w:lvl w:ilvl="3">
      <w:start w:val="1"/>
      <w:numFmt w:val="decimal"/>
      <w:lvlText w:val="%4."/>
      <w:lvlJc w:val="left"/>
      <w:pPr>
        <w:ind w:left="2878" w:hanging="360"/>
      </w:pPr>
      <w:rPr/>
    </w:lvl>
    <w:lvl w:ilvl="4">
      <w:start w:val="1"/>
      <w:numFmt w:val="lowerLetter"/>
      <w:lvlText w:val="%5."/>
      <w:lvlJc w:val="left"/>
      <w:pPr>
        <w:ind w:left="3598" w:hanging="360"/>
      </w:pPr>
      <w:rPr/>
    </w:lvl>
    <w:lvl w:ilvl="5">
      <w:start w:val="1"/>
      <w:numFmt w:val="lowerRoman"/>
      <w:lvlText w:val="%6."/>
      <w:lvlJc w:val="right"/>
      <w:pPr>
        <w:ind w:left="4318" w:hanging="180"/>
      </w:pPr>
      <w:rPr/>
    </w:lvl>
    <w:lvl w:ilvl="6">
      <w:start w:val="1"/>
      <w:numFmt w:val="decimal"/>
      <w:lvlText w:val="%7."/>
      <w:lvlJc w:val="left"/>
      <w:pPr>
        <w:ind w:left="5038" w:hanging="360"/>
      </w:pPr>
      <w:rPr/>
    </w:lvl>
    <w:lvl w:ilvl="7">
      <w:start w:val="1"/>
      <w:numFmt w:val="lowerLetter"/>
      <w:lvlText w:val="%8."/>
      <w:lvlJc w:val="left"/>
      <w:pPr>
        <w:ind w:left="5758" w:hanging="360"/>
      </w:pPr>
      <w:rPr/>
    </w:lvl>
    <w:lvl w:ilvl="8">
      <w:start w:val="1"/>
      <w:numFmt w:val="lowerRoman"/>
      <w:lvlText w:val="%9."/>
      <w:lvlJc w:val="right"/>
      <w:pPr>
        <w:ind w:left="6478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86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86" w:hanging="360.000000000000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upperRoman"/>
      <w:lvlText w:val="%3."/>
      <w:lvlJc w:val="left"/>
      <w:pPr>
        <w:ind w:left="2766" w:hanging="718.9999999999995"/>
      </w:pPr>
      <w:rPr>
        <w:b w:val="1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14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78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568" w:hanging="1800.000000000001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Lucida Sans Unicode" w:hAnsi="Times New Roman"/>
      <w:kern w:val="1"/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opka">
    <w:name w:val="footer"/>
    <w:basedOn w:val="Normalny"/>
    <w:qFormat w:val="1"/>
  </w:style>
  <w:style w:type="character" w:styleId="StopkaZnak" w:customStyle="1">
    <w:name w:val="Stopka Znak"/>
    <w:rPr>
      <w:rFonts w:ascii="Times New Roman" w:cs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uiPriority w:val="34"/>
    <w:qFormat w:val="1"/>
    <w:pPr>
      <w:ind w:left="720"/>
      <w:contextualSpacing w:val="1"/>
    </w:pPr>
  </w:style>
  <w:style w:type="paragraph" w:styleId="Nagwek">
    <w:name w:val="header"/>
    <w:basedOn w:val="Normalny"/>
    <w:qFormat w:val="1"/>
  </w:style>
  <w:style w:type="character" w:styleId="NagwekZnak" w:customStyle="1">
    <w:name w:val="Nagłówek Znak"/>
    <w:rPr>
      <w:rFonts w:ascii="Times New Roman" w:cs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Hipercze">
    <w:name w:val="Hyperlink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kapitzlistZnak" w:customStyle="1">
    <w:name w:val="Akapit z listą Znak"/>
    <w:rPr>
      <w:rFonts w:ascii="Times New Roman" w:cs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 w:val="1"/>
    <w:pPr>
      <w:widowControl w:val="1"/>
      <w:suppressAutoHyphens w:val="1"/>
      <w:spacing w:after="100" w:afterAutospacing="1" w:before="100" w:beforeAutospacing="1" w:line="336" w:lineRule="atLeast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styleId="TekstpodstawowyZnak" w:customStyle="1">
    <w:name w:val="Tekst podstawowy Znak"/>
    <w:rPr>
      <w:rFonts w:ascii="Times New Roman" w:cs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 w:val="1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 w:val="1"/>
    <w:rPr>
      <w:sz w:val="20"/>
      <w:szCs w:val="20"/>
    </w:rPr>
  </w:style>
  <w:style w:type="character" w:styleId="TekstkomentarzaZnak" w:customStyle="1">
    <w:name w:val="Tekst komentarza Znak"/>
    <w:rPr>
      <w:rFonts w:ascii="Times New Roman" w:cs="Times New Roman" w:eastAsia="Lucida Sans Unicode" w:hAnsi="Times New Roman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 w:val="1"/>
    <w:rPr>
      <w:b w:val="1"/>
      <w:bCs w:val="1"/>
    </w:rPr>
  </w:style>
  <w:style w:type="character" w:styleId="TematkomentarzaZnak" w:customStyle="1">
    <w:name w:val="Temat komentarza Znak"/>
    <w:rPr>
      <w:rFonts w:ascii="Times New Roman" w:cs="Times New Roman" w:eastAsia="Lucida Sans Unicode" w:hAnsi="Times New Roman"/>
      <w:b w:val="1"/>
      <w:bCs w:val="1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ji4FNNYGLa68hEW5KtdvZ1Www==">AMUW2mVZLeN1Bt9OO6wZFlUBlVwUZxk0aYATK8ZUqiudbQgVxbbsC5upKiTGbgLQ1jnVNhcHlH6hU7QDPoWSxZJRpHAvVs8/P6apDi7rnjFzA3VXYabcMOMprUll+tWp7+qXv+lae8yY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2020-05-17T10:35:00Z</dcterms:created>
  <dc:creator>Biuro</dc:creator>
</cp:coreProperties>
</file>