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FC6419">
        <w:rPr>
          <w:rFonts w:eastAsia="MS Gothic"/>
          <w:b/>
          <w:caps/>
          <w:color w:val="323E4F"/>
          <w:spacing w:val="-10"/>
          <w:sz w:val="68"/>
          <w:szCs w:val="68"/>
        </w:rPr>
        <w:t>FYZIKA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480829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D45B7E">
        <w:rPr>
          <w:b/>
          <w:color w:val="323E4F"/>
          <w:spacing w:val="-10"/>
          <w:sz w:val="36"/>
          <w:szCs w:val="36"/>
        </w:rPr>
        <w:t>8</w:t>
      </w:r>
      <w:r w:rsidR="00031858">
        <w:rPr>
          <w:b/>
          <w:color w:val="323E4F"/>
          <w:spacing w:val="-10"/>
          <w:sz w:val="36"/>
          <w:szCs w:val="36"/>
        </w:rPr>
        <w:t xml:space="preserve">. ročník - schválené MZ, dňa: </w:t>
      </w:r>
      <w:r w:rsidR="00215BA3">
        <w:rPr>
          <w:b/>
          <w:color w:val="323E4F"/>
          <w:spacing w:val="-10"/>
          <w:sz w:val="36"/>
          <w:szCs w:val="36"/>
        </w:rPr>
        <w:t>25.8.2020</w:t>
      </w:r>
      <w:bookmarkStart w:id="0" w:name="_GoBack"/>
      <w:bookmarkEnd w:id="0"/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C417EF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C417EF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FC6419">
        <w:rPr>
          <w:rFonts w:ascii="Calibri" w:hAnsi="Calibri"/>
          <w:b/>
          <w:spacing w:val="-10"/>
          <w:szCs w:val="24"/>
        </w:rPr>
        <w:t>FYZIKA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D45B7E">
        <w:rPr>
          <w:rFonts w:ascii="Calibri" w:hAnsi="Calibri"/>
          <w:b/>
          <w:spacing w:val="-10"/>
          <w:szCs w:val="24"/>
        </w:rPr>
        <w:t>8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480829" w:rsidRDefault="00FC6419" w:rsidP="00985205">
      <w:pPr>
        <w:ind w:left="0" w:firstLine="0"/>
        <w:rPr>
          <w:spacing w:val="-10"/>
          <w:sz w:val="20"/>
          <w:szCs w:val="20"/>
        </w:rPr>
      </w:pPr>
      <w:r w:rsidRPr="00FC6419">
        <w:rPr>
          <w:spacing w:val="-10"/>
          <w:sz w:val="20"/>
          <w:szCs w:val="20"/>
        </w:rPr>
        <w:t>Učivo fyziky je zamerané na objasnenie základných pojmov a jav</w:t>
      </w:r>
      <w:r>
        <w:rPr>
          <w:spacing w:val="-10"/>
          <w:sz w:val="20"/>
          <w:szCs w:val="20"/>
        </w:rPr>
        <w:t>ov z odboru fyziky.</w:t>
      </w:r>
      <w:r w:rsidRPr="00FC6419">
        <w:rPr>
          <w:spacing w:val="-10"/>
          <w:sz w:val="20"/>
          <w:szCs w:val="20"/>
        </w:rPr>
        <w:t xml:space="preserve">  Štruktúru obsahu fyziky tvoria tematické celky, v ktorých si žiaci osvojujú sústavu vybraných faktov, javov a pojmov. Učia sa fyzikálne javy pozorovať, opísať, odmerať hodnoty fyzikálnych veličín a meranie vyhodnotiť. Osvojujú si zavedenú terminológiu a symboliku, základné vzťahy medzi fyzikou, matematikou a ostatnými prírodnými vedami. Žiaci si osvojujú dôležité hodnoty, postoje a návyky, správanie sa k prírode a k sebe.  Pri vyučovaní fyziky je potrebné  opierať sa o zmyslové vnímanie predmetov a javov ako o základ pre utváranie predstáv a pojmov u mentálne postihnutých žiakov. Názornosť je najdôležitejšia zásada pri vyučovaní fyziky. Nové učivo učiteľ vys</w:t>
      </w:r>
      <w:r>
        <w:rPr>
          <w:spacing w:val="-10"/>
          <w:sz w:val="20"/>
          <w:szCs w:val="20"/>
        </w:rPr>
        <w:t>vetľuje najmä demonštračnou metó</w:t>
      </w:r>
      <w:r w:rsidRPr="00FC6419">
        <w:rPr>
          <w:spacing w:val="-10"/>
          <w:sz w:val="20"/>
          <w:szCs w:val="20"/>
        </w:rPr>
        <w:t>dou, pri ktorej sa žiaci učia slovne opísať pozorovaný jav. Žiaci merajú, vážia, pripravujú podmienky pre pokusy a vykonávajú také činnosti, ktoré využívajú v praktickom živote. Všetky činnosti robia žiaci v malých skupinách alebo vo dvojiciach. Učia sa spolupracovať, dorozumievať sa pri práci a spoločne niesť zodpovednosť za jej výsledok</w:t>
      </w:r>
    </w:p>
    <w:p w:rsidR="00FC6419" w:rsidRDefault="00FC6419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717CCC" w:rsidRDefault="00717CCC" w:rsidP="00985205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</w:p>
    <w:p w:rsidR="006B35F8" w:rsidRDefault="00717CCC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- </w:t>
      </w:r>
      <w:r w:rsidR="006B35F8">
        <w:rPr>
          <w:spacing w:val="-10"/>
          <w:sz w:val="20"/>
          <w:szCs w:val="20"/>
        </w:rPr>
        <w:t>v</w:t>
      </w:r>
      <w:r w:rsidR="006B35F8" w:rsidRPr="006B35F8">
        <w:rPr>
          <w:spacing w:val="-10"/>
          <w:sz w:val="20"/>
          <w:szCs w:val="20"/>
        </w:rPr>
        <w:t xml:space="preserve">edieť opísať stav pokoja a pohybu telies ,                    </w:t>
      </w:r>
      <w:r w:rsidR="006B35F8">
        <w:rPr>
          <w:spacing w:val="-10"/>
          <w:sz w:val="20"/>
          <w:szCs w:val="20"/>
        </w:rPr>
        <w:t xml:space="preserve">                     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- </w:t>
      </w:r>
      <w:r w:rsidRPr="006B35F8">
        <w:rPr>
          <w:spacing w:val="-10"/>
          <w:sz w:val="20"/>
          <w:szCs w:val="20"/>
        </w:rPr>
        <w:t xml:space="preserve"> vedieť charakterizovať silu ako vzájomné pôsobenie telies, 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-</w:t>
      </w:r>
      <w:r w:rsidRPr="006B35F8">
        <w:rPr>
          <w:spacing w:val="-10"/>
          <w:sz w:val="20"/>
          <w:szCs w:val="20"/>
        </w:rPr>
        <w:t xml:space="preserve"> vedieť opísať príčinu pádu telies,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-</w:t>
      </w:r>
      <w:r w:rsidRPr="006B35F8">
        <w:rPr>
          <w:spacing w:val="-10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vedieť zmerať silu silomerom,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- </w:t>
      </w:r>
      <w:r w:rsidRPr="006B35F8">
        <w:rPr>
          <w:spacing w:val="-10"/>
          <w:sz w:val="20"/>
          <w:szCs w:val="20"/>
        </w:rPr>
        <w:t xml:space="preserve">vedieť vysvetliť polohovú a pohybovú energiu na konkrétnych príkladoch,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-</w:t>
      </w:r>
      <w:r w:rsidRPr="006B35F8">
        <w:rPr>
          <w:spacing w:val="-10"/>
          <w:sz w:val="20"/>
          <w:szCs w:val="20"/>
        </w:rPr>
        <w:t xml:space="preserve"> opísať javy: odraz, lom a rozklad svetla, </w:t>
      </w:r>
    </w:p>
    <w:p w:rsidR="006B35F8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-</w:t>
      </w:r>
      <w:r w:rsidRPr="006B35F8">
        <w:rPr>
          <w:spacing w:val="-10"/>
          <w:sz w:val="20"/>
          <w:szCs w:val="20"/>
        </w:rPr>
        <w:t xml:space="preserve"> opísať vznik zvuku a jeho vlastnosti na jednoduchom príklade, </w:t>
      </w:r>
    </w:p>
    <w:p w:rsidR="00985205" w:rsidRPr="00717CCC" w:rsidRDefault="006B35F8" w:rsidP="00FC6419">
      <w:pPr>
        <w:spacing w:after="0" w:line="240" w:lineRule="auto"/>
        <w:ind w:left="0" w:right="13" w:firstLine="0"/>
        <w:jc w:val="lef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-</w:t>
      </w:r>
      <w:r w:rsidRPr="006B35F8">
        <w:rPr>
          <w:spacing w:val="-10"/>
          <w:sz w:val="20"/>
          <w:szCs w:val="20"/>
        </w:rPr>
        <w:t xml:space="preserve"> vedieť prezentovať výsledky práce za skupinu.  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480829" w:rsidRDefault="00480829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5E1839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ôsmy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ovacích hodín v školskom roku: </w:t>
      </w:r>
      <w:r w:rsidR="00480829">
        <w:rPr>
          <w:rFonts w:ascii="Calibri" w:hAnsi="Calibri"/>
          <w:b/>
          <w:spacing w:val="-10"/>
          <w:sz w:val="28"/>
          <w:szCs w:val="28"/>
        </w:rPr>
        <w:t>1</w:t>
      </w:r>
      <w:r w:rsidR="00DC016D">
        <w:rPr>
          <w:rFonts w:ascii="Calibri" w:hAnsi="Calibri"/>
          <w:b/>
          <w:spacing w:val="-10"/>
          <w:sz w:val="28"/>
          <w:szCs w:val="28"/>
        </w:rPr>
        <w:t xml:space="preserve"> hodin</w:t>
      </w:r>
      <w:r w:rsidR="00480829">
        <w:rPr>
          <w:rFonts w:ascii="Calibri" w:hAnsi="Calibri"/>
          <w:b/>
          <w:spacing w:val="-10"/>
          <w:sz w:val="28"/>
          <w:szCs w:val="28"/>
        </w:rPr>
        <w:t>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480829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95613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6B35F8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Pohyb a sila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Pr="00956131" w:rsidRDefault="00956131" w:rsidP="00B96C8F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Default="00793E6B" w:rsidP="00C90BA7">
            <w:pPr>
              <w:pStyle w:val="Stlus1"/>
              <w:rPr>
                <w:b w:val="0"/>
                <w:sz w:val="20"/>
                <w:szCs w:val="20"/>
              </w:rPr>
            </w:pPr>
          </w:p>
          <w:p w:rsidR="005B11ED" w:rsidRPr="00B96C8F" w:rsidRDefault="005B11ED" w:rsidP="00C90BA7">
            <w:pPr>
              <w:pStyle w:val="Stlus1"/>
              <w:rPr>
                <w:b w:val="0"/>
                <w:sz w:val="20"/>
                <w:szCs w:val="20"/>
              </w:rPr>
            </w:pPr>
            <w:r w:rsidRPr="005B11ED">
              <w:rPr>
                <w:b w:val="0"/>
                <w:sz w:val="20"/>
                <w:szCs w:val="20"/>
              </w:rPr>
              <w:t>Cez riešenie úloh a pokusmi vedieme žiakov k porozumeniu javov a fungovaniu vecí. Učíme ich robiť potrebné merania a skúmať príčiny fungovania vecí. Experimentom sa žiaci učia vykonávať dôkaz jednoduchých vlastností svetla,  zvuku. V závere školského roka  sa učia porovnávať fyzikálne vlastnosti rastlín.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5AF5" w:rsidRPr="00A90348" w:rsidRDefault="006B35F8" w:rsidP="00E95AF5">
            <w:pPr>
              <w:pStyle w:val="Stlus1"/>
              <w:rPr>
                <w:b w:val="0"/>
                <w:sz w:val="20"/>
                <w:szCs w:val="20"/>
              </w:rPr>
            </w:pPr>
            <w:r w:rsidRPr="006B35F8">
              <w:rPr>
                <w:b w:val="0"/>
                <w:sz w:val="20"/>
                <w:szCs w:val="20"/>
              </w:rPr>
              <w:t xml:space="preserve">Pohyb telies Pokoj a pohyb telies.  Dráha pohybu, rovnomerný a nerovnomerný pohyb, rýchlosť pohybu telies.                                                                                                                              Sila                                                                                                                                                                                                                                                              Gravitačná sila. Silomer, meranie sily silomerom, jednotka sily 1 N. Účinky sily. Deformačné účinky sily. Tlak.                                                                                                                                                Trenie                                                                                                                                                   Škodlivé a užitočné trenie. Jednoduché stroje  Naklonená rovina, páka, kladka.  </w:t>
            </w:r>
          </w:p>
          <w:p w:rsidR="00956131" w:rsidRPr="00A90348" w:rsidRDefault="00956131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Pr="00A90348" w:rsidRDefault="006B35F8" w:rsidP="00E95AF5">
            <w:pPr>
              <w:pStyle w:val="Stlus1"/>
              <w:rPr>
                <w:b w:val="0"/>
                <w:sz w:val="20"/>
                <w:szCs w:val="20"/>
              </w:rPr>
            </w:pPr>
            <w:r w:rsidRPr="006B35F8">
              <w:rPr>
                <w:b w:val="0"/>
                <w:sz w:val="20"/>
                <w:szCs w:val="20"/>
              </w:rPr>
              <w:t xml:space="preserve">Energia Zdroje energie. Energia a vykonávanie práce. Premena polohovej energie a pohybovú energiu.  Teplo                                                                                                                                  Odovzdávanie a prijímanie tepla.  Vedenie tepla rôznymi látkami. Teplo, práca, energia. Svetlo                                                                                                                                                Zdroje svetla, odraz svetla, lom svetla. Šošovky a okuliare. Ako vzniká dúha. Svetlo a teplo. Zvuk                                                                                                                                                                                      Vznik zvuku.  Šírenie a rýchlosť zvuku. Vnímanie zvuku. Vplyv slnečného svetla na rast rastlín.     </w:t>
            </w:r>
          </w:p>
          <w:p w:rsidR="00A90348" w:rsidRP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Default="00A90348" w:rsidP="00E95AF5">
            <w:pPr>
              <w:pStyle w:val="Stlus1"/>
              <w:rPr>
                <w:b w:val="0"/>
                <w:sz w:val="20"/>
                <w:szCs w:val="20"/>
              </w:rPr>
            </w:pPr>
          </w:p>
          <w:p w:rsidR="00A90348" w:rsidRPr="00956131" w:rsidRDefault="00A90348" w:rsidP="00247688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034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EF" w:rsidRDefault="00C417EF" w:rsidP="00985205">
      <w:pPr>
        <w:spacing w:after="0" w:line="240" w:lineRule="auto"/>
      </w:pPr>
      <w:r>
        <w:separator/>
      </w:r>
    </w:p>
  </w:endnote>
  <w:endnote w:type="continuationSeparator" w:id="0">
    <w:p w:rsidR="00C417EF" w:rsidRDefault="00C417EF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EF" w:rsidRDefault="00C417EF" w:rsidP="00985205">
      <w:pPr>
        <w:spacing w:after="0" w:line="240" w:lineRule="auto"/>
      </w:pPr>
      <w:r>
        <w:separator/>
      </w:r>
    </w:p>
  </w:footnote>
  <w:footnote w:type="continuationSeparator" w:id="0">
    <w:p w:rsidR="00C417EF" w:rsidRDefault="00C417EF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FC6419">
      <w:rPr>
        <w:rFonts w:ascii="Calibri" w:hAnsi="Calibri"/>
        <w:b/>
        <w:spacing w:val="-10"/>
        <w:sz w:val="20"/>
      </w:rPr>
      <w:t>Fyzika</w:t>
    </w:r>
    <w:r w:rsidR="00D45B7E">
      <w:rPr>
        <w:rFonts w:ascii="Calibri" w:hAnsi="Calibri"/>
        <w:b/>
        <w:spacing w:val="-10"/>
        <w:sz w:val="20"/>
      </w:rPr>
      <w:t xml:space="preserve"> 8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27"/>
    <w:multiLevelType w:val="hybridMultilevel"/>
    <w:tmpl w:val="7C1EECC2"/>
    <w:lvl w:ilvl="0" w:tplc="27D454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2"/>
    <w:rsid w:val="00031795"/>
    <w:rsid w:val="00031858"/>
    <w:rsid w:val="001C43CC"/>
    <w:rsid w:val="00215BA3"/>
    <w:rsid w:val="00247688"/>
    <w:rsid w:val="002D3EBA"/>
    <w:rsid w:val="00391086"/>
    <w:rsid w:val="003B0416"/>
    <w:rsid w:val="00480829"/>
    <w:rsid w:val="00537925"/>
    <w:rsid w:val="00594569"/>
    <w:rsid w:val="005B11ED"/>
    <w:rsid w:val="005C7ABB"/>
    <w:rsid w:val="005E1839"/>
    <w:rsid w:val="00633B14"/>
    <w:rsid w:val="00671BD8"/>
    <w:rsid w:val="006A6534"/>
    <w:rsid w:val="006B35F8"/>
    <w:rsid w:val="00717CCC"/>
    <w:rsid w:val="00793E6B"/>
    <w:rsid w:val="00813B95"/>
    <w:rsid w:val="008256BE"/>
    <w:rsid w:val="0084510D"/>
    <w:rsid w:val="00893DD2"/>
    <w:rsid w:val="009378FB"/>
    <w:rsid w:val="00956131"/>
    <w:rsid w:val="00964F43"/>
    <w:rsid w:val="00985205"/>
    <w:rsid w:val="009B7B57"/>
    <w:rsid w:val="00A27596"/>
    <w:rsid w:val="00A53720"/>
    <w:rsid w:val="00A90348"/>
    <w:rsid w:val="00AB0144"/>
    <w:rsid w:val="00AF6556"/>
    <w:rsid w:val="00B94D90"/>
    <w:rsid w:val="00B96C8F"/>
    <w:rsid w:val="00BA406B"/>
    <w:rsid w:val="00C3565C"/>
    <w:rsid w:val="00C417EF"/>
    <w:rsid w:val="00C90BA7"/>
    <w:rsid w:val="00D45B7E"/>
    <w:rsid w:val="00D73BA7"/>
    <w:rsid w:val="00D7571B"/>
    <w:rsid w:val="00D95955"/>
    <w:rsid w:val="00DC016D"/>
    <w:rsid w:val="00E12DD6"/>
    <w:rsid w:val="00E95AF5"/>
    <w:rsid w:val="00EB42DE"/>
    <w:rsid w:val="00FC6419"/>
    <w:rsid w:val="00FE748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2020-07-12T13:59:00Z</dcterms:created>
  <dcterms:modified xsi:type="dcterms:W3CDTF">2020-09-20T11:37:00Z</dcterms:modified>
</cp:coreProperties>
</file>